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tabs>
          <w:tab w:val="clear" w:pos="397"/>
          <w:tab w:val="clear" w:pos="794"/>
          <w:tab w:val="clear" w:pos="1191"/>
        </w:tabs>
        <w:rPr>
          <w:szCs w:val="22"/>
        </w:rPr>
      </w:pPr>
    </w:p>
    <w:p>
      <w:pPr>
        <w:tabs>
          <w:tab w:val="clear" w:pos="397"/>
          <w:tab w:val="clear" w:pos="794"/>
          <w:tab w:val="clear" w:pos="1191"/>
        </w:tabs>
        <w:rPr>
          <w:szCs w:val="22"/>
        </w:rPr>
      </w:pPr>
    </w:p>
    <w:p>
      <w:pPr>
        <w:pStyle w:val="THName810"/>
        <w:framePr w:w="2524" w:h="14285" w:hRule="exact" w:hSpace="181" w:wrap="around" w:vAnchor="page" w:hAnchor="page" w:x="9018" w:y="1985"/>
        <w:spacing w:line="140" w:lineRule="exact"/>
        <w:rPr>
          <w:rStyle w:val="THbold"/>
        </w:rPr>
      </w:pPr>
    </w:p>
    <w:p>
      <w:pPr>
        <w:pStyle w:val="THName810"/>
        <w:framePr w:w="2524" w:h="14285" w:hRule="exact" w:hSpace="181" w:wrap="around" w:vAnchor="page" w:hAnchor="page" w:x="9018" w:y="1985"/>
        <w:rPr>
          <w:rStyle w:val="THbold"/>
        </w:rPr>
      </w:pPr>
    </w:p>
    <w:p>
      <w:pPr>
        <w:pStyle w:val="THName810"/>
        <w:framePr w:w="2524" w:h="14285" w:hRule="exact" w:hSpace="181" w:wrap="around" w:vAnchor="page" w:hAnchor="page" w:x="9018" w:y="1985"/>
        <w:rPr>
          <w:rStyle w:val="THbold"/>
        </w:rPr>
      </w:pPr>
    </w:p>
    <w:p>
      <w:pPr>
        <w:pStyle w:val="THName810"/>
        <w:framePr w:w="2524" w:h="14285" w:hRule="exact" w:hSpace="181" w:wrap="around" w:vAnchor="page" w:hAnchor="page" w:x="9018" w:y="1985"/>
        <w:rPr>
          <w:rStyle w:val="THbold"/>
        </w:rPr>
      </w:pPr>
    </w:p>
    <w:p>
      <w:pPr>
        <w:pStyle w:val="THName810"/>
        <w:framePr w:w="2524" w:h="14285" w:hRule="exact" w:hSpace="181" w:wrap="around" w:vAnchor="page" w:hAnchor="page" w:x="9018" w:y="1985"/>
        <w:rPr>
          <w:rStyle w:val="THbold"/>
        </w:rPr>
      </w:pPr>
    </w:p>
    <w:bookmarkStart w:id="0" w:name="Presse"/>
    <w:p>
      <w:pPr>
        <w:pStyle w:val="THName810"/>
        <w:framePr w:w="2524" w:h="14285" w:hRule="exact" w:hSpace="181" w:wrap="around" w:vAnchor="page" w:hAnchor="page" w:x="9018" w:y="1985"/>
        <w:rPr>
          <w:b/>
        </w:rPr>
      </w:pPr>
      <w:r>
        <w:rPr>
          <w:b/>
        </w:rPr>
        <w:fldChar w:fldCharType="begin">
          <w:ffData>
            <w:name w:val="Presse"/>
            <w:enabled/>
            <w:calcOnExit w:val="0"/>
            <w:textInput>
              <w:maxLength w:val="25"/>
            </w:textInput>
          </w:ffData>
        </w:fldChar>
      </w:r>
      <w:r>
        <w:rPr>
          <w:b/>
        </w:rPr>
        <w:instrText xml:space="preserve"> FORMTEXT </w:instrText>
      </w:r>
      <w:r>
        <w:rPr>
          <w:b/>
        </w:rPr>
      </w:r>
      <w:r>
        <w:rPr>
          <w:b/>
        </w:rPr>
        <w:fldChar w:fldCharType="separate"/>
      </w:r>
      <w:r>
        <w:rPr>
          <w:b/>
        </w:rPr>
        <w:t>Die Pressesprecherin</w:t>
      </w:r>
      <w:r>
        <w:rPr>
          <w:b/>
        </w:rPr>
        <w:fldChar w:fldCharType="end"/>
      </w:r>
      <w:bookmarkEnd w:id="0"/>
    </w:p>
    <w:p>
      <w:pPr>
        <w:pStyle w:val="THName810"/>
        <w:framePr w:w="2524" w:h="14285" w:hRule="exact" w:hSpace="181" w:wrap="around" w:vAnchor="page" w:hAnchor="page" w:x="9018" w:y="1985"/>
        <w:rPr>
          <w:rStyle w:val="THbold"/>
          <w:b w:val="0"/>
        </w:rPr>
      </w:pPr>
      <w:proofErr w:type="spellStart"/>
      <w:r>
        <w:rPr>
          <w:rStyle w:val="THbold"/>
          <w:b w:val="0"/>
        </w:rPr>
        <w:t>RinVG</w:t>
      </w:r>
      <w:proofErr w:type="spellEnd"/>
      <w:r>
        <w:rPr>
          <w:rStyle w:val="THbold"/>
          <w:b w:val="0"/>
        </w:rPr>
        <w:t xml:space="preserve"> </w:t>
      </w:r>
      <w:proofErr w:type="spellStart"/>
      <w:r>
        <w:rPr>
          <w:rStyle w:val="THbold"/>
          <w:b w:val="0"/>
        </w:rPr>
        <w:t>Szurlies</w:t>
      </w:r>
      <w:proofErr w:type="spellEnd"/>
    </w:p>
    <w:p>
      <w:pPr>
        <w:pStyle w:val="THName810"/>
        <w:framePr w:w="2524" w:h="14285" w:hRule="exact" w:hSpace="181" w:wrap="around" w:vAnchor="page" w:hAnchor="page" w:x="9018" w:y="1985"/>
        <w:rPr>
          <w:rStyle w:val="THbold"/>
          <w:b w:val="0"/>
        </w:rPr>
      </w:pPr>
    </w:p>
    <w:p>
      <w:pPr>
        <w:pStyle w:val="THName810"/>
        <w:framePr w:w="2524" w:h="14285" w:hRule="exact" w:hSpace="181" w:wrap="around" w:vAnchor="page" w:hAnchor="page" w:x="9018" w:y="1985"/>
        <w:rPr>
          <w:rStyle w:val="THbold"/>
        </w:rPr>
      </w:pPr>
      <w:r>
        <w:rPr>
          <w:rStyle w:val="THbold"/>
        </w:rPr>
        <w:t>Durchwahl:</w:t>
      </w:r>
    </w:p>
    <w:p>
      <w:pPr>
        <w:pStyle w:val="THName810"/>
        <w:framePr w:w="2524" w:h="14285" w:hRule="exact" w:hSpace="181" w:wrap="around" w:vAnchor="page" w:hAnchor="page" w:x="9018" w:y="1985"/>
        <w:rPr>
          <w:rFonts w:eastAsia="Cambria"/>
        </w:rPr>
      </w:pPr>
      <w:r>
        <w:rPr>
          <w:rFonts w:eastAsia="Cambria"/>
        </w:rPr>
        <w:t>Telefon 03693 509-351</w:t>
      </w:r>
    </w:p>
    <w:p>
      <w:pPr>
        <w:pStyle w:val="THName810"/>
        <w:framePr w:w="2524" w:h="14285" w:hRule="exact" w:hSpace="181" w:wrap="around" w:vAnchor="page" w:hAnchor="page" w:x="9018" w:y="1985"/>
        <w:tabs>
          <w:tab w:val="left" w:pos="709"/>
        </w:tabs>
        <w:rPr>
          <w:rFonts w:eastAsia="Cambria"/>
        </w:rPr>
      </w:pPr>
      <w:r>
        <w:rPr>
          <w:rFonts w:eastAsia="Cambria"/>
        </w:rPr>
        <w:t>Telefax 03693 509-</w:t>
      </w:r>
      <w:r>
        <w:rPr>
          <w:rFonts w:eastAsia="Cambria"/>
        </w:rPr>
        <w:fldChar w:fldCharType="begin">
          <w:ffData>
            <w:name w:val="Fax"/>
            <w:enabled/>
            <w:calcOnExit w:val="0"/>
            <w:textInput>
              <w:default w:val="398"/>
              <w:maxLength w:val="7"/>
            </w:textInput>
          </w:ffData>
        </w:fldChar>
      </w:r>
      <w:bookmarkStart w:id="1" w:name="Fax"/>
      <w:r>
        <w:rPr>
          <w:rFonts w:eastAsia="Cambria"/>
        </w:rPr>
        <w:instrText xml:space="preserve"> FORMTEXT </w:instrText>
      </w:r>
      <w:r>
        <w:rPr>
          <w:rFonts w:eastAsia="Cambria"/>
        </w:rPr>
      </w:r>
      <w:r>
        <w:rPr>
          <w:rFonts w:eastAsia="Cambria"/>
        </w:rPr>
        <w:fldChar w:fldCharType="separate"/>
      </w:r>
      <w:r>
        <w:rPr>
          <w:rFonts w:eastAsia="Cambria"/>
          <w:noProof/>
        </w:rPr>
        <w:t>398</w:t>
      </w:r>
      <w:r>
        <w:rPr>
          <w:rFonts w:eastAsia="Cambria"/>
        </w:rPr>
        <w:fldChar w:fldCharType="end"/>
      </w:r>
      <w:bookmarkEnd w:id="1"/>
    </w:p>
    <w:p>
      <w:pPr>
        <w:pStyle w:val="THName810"/>
        <w:framePr w:w="2524" w:h="14285" w:hRule="exact" w:hSpace="181" w:wrap="around" w:vAnchor="page" w:hAnchor="page" w:x="9018" w:y="1985"/>
        <w:rPr>
          <w:rFonts w:eastAsia="Cambria"/>
        </w:rPr>
      </w:pPr>
    </w:p>
    <w:p>
      <w:pPr>
        <w:pStyle w:val="THName810"/>
        <w:framePr w:w="2524" w:h="14285" w:hRule="exact" w:hSpace="181" w:wrap="around" w:vAnchor="page" w:hAnchor="page" w:x="9018" w:y="1985"/>
        <w:rPr>
          <w:rFonts w:eastAsia="Cambria"/>
        </w:rPr>
      </w:pPr>
      <w:r>
        <w:rPr>
          <w:rFonts w:eastAsia="Cambria"/>
        </w:rPr>
        <w:t>pressevgme@thfj.thueringen.de</w:t>
      </w:r>
    </w:p>
    <w:p>
      <w:pPr>
        <w:pStyle w:val="THName810"/>
        <w:framePr w:w="2524" w:h="14285" w:hRule="exact" w:hSpace="181" w:wrap="around" w:vAnchor="page" w:hAnchor="page" w:x="9018" w:y="1985"/>
        <w:rPr>
          <w:rFonts w:eastAsia="Cambria"/>
        </w:rPr>
      </w:pPr>
    </w:p>
    <w:p>
      <w:pPr>
        <w:pStyle w:val="THName810"/>
        <w:framePr w:w="2524" w:h="14285" w:hRule="exact" w:hSpace="181" w:wrap="around" w:vAnchor="page" w:hAnchor="page" w:x="9018" w:y="1985"/>
        <w:rPr>
          <w:rFonts w:eastAsia="Cambria"/>
        </w:rPr>
      </w:pPr>
    </w:p>
    <w:p>
      <w:pPr>
        <w:pStyle w:val="THName810"/>
        <w:framePr w:w="2524" w:h="14285" w:hRule="exact" w:hSpace="181" w:wrap="around" w:vAnchor="page" w:hAnchor="page" w:x="9018" w:y="1985"/>
        <w:rPr>
          <w:rFonts w:eastAsia="Cambria"/>
        </w:rPr>
      </w:pPr>
      <w:r>
        <w:rPr>
          <w:rFonts w:eastAsia="Cambria"/>
        </w:rPr>
        <w:t>Meiningen</w:t>
      </w:r>
    </w:p>
    <w:p>
      <w:pPr>
        <w:pStyle w:val="THName810"/>
        <w:framePr w:w="2524" w:h="14285" w:hRule="exact" w:hSpace="181" w:wrap="around" w:vAnchor="page" w:hAnchor="page" w:x="9018" w:y="1985"/>
      </w:pPr>
      <w:r>
        <w:t>17. Juli 2026</w:t>
      </w: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Abbinder79"/>
        <w:framePr w:w="2524" w:h="14285" w:hRule="exact" w:hSpace="181" w:wrap="around" w:vAnchor="page" w:hAnchor="page" w:x="9018" w:y="1985"/>
        <w:rPr>
          <w:rStyle w:val="THbold"/>
        </w:rPr>
      </w:pPr>
    </w:p>
    <w:p>
      <w:pPr>
        <w:pStyle w:val="THAbbinder79"/>
        <w:framePr w:w="2524" w:h="14285" w:hRule="exact" w:hSpace="181" w:wrap="around" w:vAnchor="page" w:hAnchor="page" w:x="9018" w:y="1985"/>
        <w:rPr>
          <w:rStyle w:val="THbold"/>
        </w:rPr>
      </w:pPr>
      <w:r>
        <w:rPr>
          <w:rStyle w:val="THbold"/>
        </w:rPr>
        <w:t>Verwaltungsgericht</w:t>
      </w:r>
    </w:p>
    <w:p>
      <w:pPr>
        <w:pStyle w:val="THAbbinder79"/>
        <w:framePr w:w="2524" w:h="14285" w:hRule="exact" w:hSpace="181" w:wrap="around" w:vAnchor="page" w:hAnchor="page" w:x="9018" w:y="1985"/>
        <w:rPr>
          <w:rStyle w:val="THbold"/>
        </w:rPr>
      </w:pPr>
      <w:r>
        <w:rPr>
          <w:rStyle w:val="THbold"/>
        </w:rPr>
        <w:t>Meiningen</w:t>
      </w:r>
    </w:p>
    <w:p>
      <w:pPr>
        <w:pStyle w:val="THAbbinder79"/>
        <w:framePr w:w="2524" w:h="14285" w:hRule="exact" w:hSpace="181" w:wrap="around" w:vAnchor="page" w:hAnchor="page" w:x="9018" w:y="1985"/>
      </w:pPr>
      <w:r>
        <w:t>Lindenallee 15</w:t>
      </w:r>
    </w:p>
    <w:p>
      <w:pPr>
        <w:pStyle w:val="THAbbinder79"/>
        <w:framePr w:w="2524" w:h="14285" w:hRule="exact" w:hSpace="181" w:wrap="around" w:vAnchor="page" w:hAnchor="page" w:x="9018" w:y="1985"/>
      </w:pPr>
      <w:r>
        <w:t>98617 Meiningen</w:t>
      </w:r>
    </w:p>
    <w:p>
      <w:pPr>
        <w:pStyle w:val="THAbbinder79"/>
        <w:framePr w:w="2524" w:h="14285" w:hRule="exact" w:hSpace="181" w:wrap="around" w:vAnchor="page" w:hAnchor="page" w:x="9018" w:y="1985"/>
      </w:pPr>
    </w:p>
    <w:p>
      <w:pPr>
        <w:pStyle w:val="THAbbinder79"/>
        <w:framePr w:w="2524" w:h="14285" w:hRule="exact" w:hSpace="181" w:wrap="around" w:vAnchor="page" w:hAnchor="page" w:x="9018" w:y="1985"/>
      </w:pPr>
      <w:r>
        <w:t>www. verwaltungsgerichte.thueringen.de</w:t>
      </w:r>
    </w:p>
    <w:p>
      <w:pPr>
        <w:tabs>
          <w:tab w:val="clear" w:pos="397"/>
          <w:tab w:val="clear" w:pos="794"/>
          <w:tab w:val="clear" w:pos="1191"/>
        </w:tabs>
        <w:rPr>
          <w:szCs w:val="22"/>
        </w:rPr>
      </w:pPr>
    </w:p>
    <w:p>
      <w:pPr>
        <w:tabs>
          <w:tab w:val="clear" w:pos="397"/>
          <w:tab w:val="clear" w:pos="794"/>
          <w:tab w:val="clear" w:pos="1191"/>
        </w:tabs>
        <w:rPr>
          <w:szCs w:val="22"/>
        </w:rPr>
      </w:pPr>
    </w:p>
    <w:p>
      <w:pPr>
        <w:spacing w:line="440" w:lineRule="exact"/>
        <w:rPr>
          <w:rStyle w:val="THbold"/>
          <w:sz w:val="44"/>
        </w:rPr>
      </w:pPr>
      <w:r>
        <w:rPr>
          <w:rStyle w:val="THbold"/>
          <w:sz w:val="44"/>
        </w:rPr>
        <w:t>Medieninformation</w:t>
      </w:r>
    </w:p>
    <w:p>
      <w:pPr>
        <w:tabs>
          <w:tab w:val="clear" w:pos="397"/>
          <w:tab w:val="clear" w:pos="794"/>
          <w:tab w:val="clear" w:pos="1191"/>
        </w:tabs>
        <w:rPr>
          <w:sz w:val="16"/>
          <w:szCs w:val="16"/>
          <w:u w:val="single"/>
        </w:rPr>
      </w:pPr>
    </w:p>
    <w:p>
      <w:pPr>
        <w:tabs>
          <w:tab w:val="clear" w:pos="397"/>
          <w:tab w:val="clear" w:pos="794"/>
          <w:tab w:val="clear" w:pos="1191"/>
        </w:tabs>
        <w:rPr>
          <w:sz w:val="12"/>
          <w:szCs w:val="12"/>
        </w:rPr>
      </w:pPr>
    </w:p>
    <w:p>
      <w:pPr>
        <w:tabs>
          <w:tab w:val="clear" w:pos="397"/>
          <w:tab w:val="clear" w:pos="794"/>
          <w:tab w:val="clear" w:pos="1191"/>
        </w:tabs>
        <w:rPr>
          <w:sz w:val="12"/>
          <w:szCs w:val="12"/>
        </w:rPr>
      </w:pPr>
    </w:p>
    <w:p>
      <w:pPr>
        <w:tabs>
          <w:tab w:val="clear" w:pos="397"/>
          <w:tab w:val="clear" w:pos="794"/>
          <w:tab w:val="clear" w:pos="1191"/>
        </w:tabs>
        <w:spacing w:line="264" w:lineRule="exact"/>
        <w:rPr>
          <w:szCs w:val="22"/>
        </w:rPr>
      </w:pPr>
      <w:bookmarkStart w:id="2" w:name="Anschrift4"/>
      <w:r>
        <w:rPr>
          <w:rStyle w:val="THbold"/>
          <w:b w:val="0"/>
        </w:rPr>
        <w:t>2/</w:t>
      </w:r>
      <w:r>
        <w:rPr>
          <w:szCs w:val="22"/>
        </w:rPr>
        <w:t>2026</w:t>
      </w:r>
    </w:p>
    <w:bookmarkEnd w:id="2"/>
    <w:p>
      <w:pPr>
        <w:rPr>
          <w:szCs w:val="22"/>
        </w:rPr>
      </w:pPr>
    </w:p>
    <w:p>
      <w:pPr>
        <w:tabs>
          <w:tab w:val="clear" w:pos="397"/>
          <w:tab w:val="clear" w:pos="794"/>
          <w:tab w:val="clear" w:pos="1191"/>
        </w:tabs>
        <w:spacing w:line="264" w:lineRule="exact"/>
        <w:rPr>
          <w:szCs w:val="22"/>
        </w:rPr>
      </w:pPr>
      <w:r>
        <w:rPr>
          <w:szCs w:val="22"/>
        </w:rPr>
        <w:t>Verwaltungsgericht Meiningen</w:t>
      </w:r>
    </w:p>
    <w:p>
      <w:pPr>
        <w:tabs>
          <w:tab w:val="clear" w:pos="397"/>
          <w:tab w:val="clear" w:pos="794"/>
          <w:tab w:val="clear" w:pos="1191"/>
        </w:tabs>
        <w:spacing w:line="264" w:lineRule="exact"/>
        <w:rPr>
          <w:szCs w:val="22"/>
        </w:rPr>
      </w:pPr>
    </w:p>
    <w:p>
      <w:pPr>
        <w:tabs>
          <w:tab w:val="clear" w:pos="397"/>
          <w:tab w:val="clear" w:pos="794"/>
          <w:tab w:val="clear" w:pos="1191"/>
        </w:tabs>
        <w:spacing w:line="264" w:lineRule="exact"/>
        <w:rPr>
          <w:szCs w:val="22"/>
        </w:rPr>
      </w:pPr>
    </w:p>
    <w:p>
      <w:pPr>
        <w:tabs>
          <w:tab w:val="clear" w:pos="397"/>
          <w:tab w:val="clear" w:pos="794"/>
          <w:tab w:val="clear" w:pos="1191"/>
        </w:tabs>
        <w:spacing w:line="264" w:lineRule="exact"/>
      </w:pPr>
    </w:p>
    <w:p>
      <w:pPr>
        <w:tabs>
          <w:tab w:val="clear" w:pos="397"/>
          <w:tab w:val="clear" w:pos="794"/>
          <w:tab w:val="clear" w:pos="1191"/>
        </w:tabs>
        <w:spacing w:line="264" w:lineRule="exact"/>
        <w:sectPr>
          <w:headerReference w:type="default" r:id="rId6"/>
          <w:footerReference w:type="default" r:id="rId7"/>
          <w:headerReference w:type="first" r:id="rId8"/>
          <w:footerReference w:type="first" r:id="rId9"/>
          <w:type w:val="continuous"/>
          <w:pgSz w:w="11907" w:h="16840"/>
          <w:pgMar w:top="1418" w:right="3119" w:bottom="1276" w:left="1276" w:header="720" w:footer="720" w:gutter="0"/>
          <w:cols w:space="720"/>
          <w:titlePg/>
        </w:sectPr>
      </w:pPr>
    </w:p>
    <w:p>
      <w:pPr>
        <w:pStyle w:val="31Sachverhalt"/>
        <w:rPr>
          <w:rFonts w:ascii="Arial" w:hAnsi="Arial" w:cs="Arial"/>
          <w:b/>
          <w:bCs/>
        </w:rPr>
      </w:pPr>
      <w:r>
        <w:rPr>
          <w:rFonts w:ascii="Arial" w:hAnsi="Arial" w:cs="Arial"/>
          <w:b/>
          <w:bCs/>
          <w:szCs w:val="24"/>
          <w:u w:val="single"/>
        </w:rPr>
        <w:t>Presseerklärung:</w:t>
      </w:r>
      <w:r>
        <w:rPr>
          <w:rFonts w:ascii="Arial" w:hAnsi="Arial" w:cs="Arial"/>
          <w:b/>
          <w:bCs/>
          <w:szCs w:val="24"/>
        </w:rPr>
        <w:t xml:space="preserve"> </w:t>
      </w:r>
      <w:r>
        <w:rPr>
          <w:rFonts w:ascii="Arial" w:hAnsi="Arial" w:cs="Arial"/>
          <w:b/>
          <w:bCs/>
        </w:rPr>
        <w:t>Beschluss des Verwaltungsgerichts Meiningen vom 16.07.2026 (2 E 1396/26 Me)</w:t>
      </w:r>
      <w:r>
        <w:rPr>
          <w:rFonts w:ascii="Arial" w:hAnsi="Arial" w:cs="Arial"/>
          <w:b/>
        </w:rPr>
        <w:t xml:space="preserve"> zur geplanten Versammlung </w:t>
      </w:r>
      <w:r>
        <w:rPr>
          <w:rFonts w:ascii="Arial" w:hAnsi="Arial" w:cs="Arial"/>
          <w:b/>
          <w:bCs/>
        </w:rPr>
        <w:t xml:space="preserve">„Christopher Street Day Sonneberg 2026, Stoppt </w:t>
      </w:r>
      <w:proofErr w:type="spellStart"/>
      <w:r>
        <w:rPr>
          <w:rFonts w:ascii="Arial" w:hAnsi="Arial" w:cs="Arial"/>
          <w:b/>
          <w:bCs/>
        </w:rPr>
        <w:t>Queerfeindlichkeit</w:t>
      </w:r>
      <w:proofErr w:type="spellEnd"/>
      <w:r>
        <w:rPr>
          <w:rFonts w:ascii="Arial" w:hAnsi="Arial" w:cs="Arial"/>
          <w:b/>
          <w:bCs/>
        </w:rPr>
        <w:t xml:space="preserve"> - Wir sind hier, wir sind laut“ in Sonneberg am 18.07.2026</w:t>
      </w:r>
    </w:p>
    <w:p>
      <w:pPr>
        <w:pStyle w:val="31Sachverhalt"/>
        <w:rPr>
          <w:rFonts w:ascii="Arial" w:hAnsi="Arial" w:cs="Arial"/>
          <w:b/>
          <w:bCs/>
        </w:rPr>
      </w:pPr>
      <w:r>
        <w:rPr>
          <w:rFonts w:ascii="Arial" w:hAnsi="Arial" w:cs="Arial"/>
        </w:rPr>
        <w:t xml:space="preserve">Die 2. Kammer des Verwaltungsgerichts Meiningen hatte sich in einem Eilverfahren mit der geplanten Veranstaltung zu befassen. </w:t>
      </w:r>
    </w:p>
    <w:p>
      <w:pPr>
        <w:pStyle w:val="31Sachverhalt"/>
        <w:rPr>
          <w:rFonts w:ascii="Arial" w:hAnsi="Arial" w:cs="Arial"/>
        </w:rPr>
      </w:pPr>
      <w:r>
        <w:rPr>
          <w:rFonts w:ascii="Arial" w:hAnsi="Arial" w:cs="Arial"/>
        </w:rPr>
        <w:t xml:space="preserve">Der Antragsteller (Anmelder der Versammlung) wandte sich im Wege des einstweiligen Rechtsschutzes gegen mehrere </w:t>
      </w:r>
      <w:r>
        <w:rPr>
          <w:rFonts w:ascii="Arial" w:hAnsi="Arial" w:cs="Arial"/>
        </w:rPr>
        <w:noBreakHyphen/>
        <w:t> auch mit Widerspruch angegriffene </w:t>
      </w:r>
      <w:r>
        <w:rPr>
          <w:rFonts w:ascii="Arial" w:hAnsi="Arial" w:cs="Arial"/>
        </w:rPr>
        <w:noBreakHyphen/>
        <w:t xml:space="preserve"> Auflagen im Bescheid des Landratsamtes Sonneberg vom 29.06.2026. Die Kammer hat die aufschiebende Wirkung des Widerspruchs hinsichtlich sechs der sieben angegriffenen Auflagen wiederhergestellt und den Antrag im Übrigen abgelehnt. </w:t>
      </w:r>
    </w:p>
    <w:p>
      <w:pPr>
        <w:pStyle w:val="21Tenor"/>
        <w:ind w:left="0"/>
        <w:rPr>
          <w:rFonts w:ascii="Arial" w:hAnsi="Arial" w:cs="Arial"/>
        </w:rPr>
      </w:pPr>
      <w:r>
        <w:rPr>
          <w:rFonts w:ascii="Arial" w:hAnsi="Arial" w:cs="Arial"/>
        </w:rPr>
        <w:t xml:space="preserve">Erfolg hatte der Antrag, soweit der Bescheid anordnete, zwei Ordner hätten dafür Sorge zu tragen, dass, und zwar ausschließlich für den Fall, dass dies erforderlich werde, eine problemlose Identitätsfeststellung Betroffener erfolgen könne; andere als die angemeldeten und bestätigten Kundgebungsmittel nicht erlaubt seien; dass auf allen Druckwerken, die zur Versammlung oder im Vorfeld verwendet würden, Name und Anschrift der Druckerei und des Verlages genannt bzw. Name und vollständige Anschrift des Verfassers angegeben sein müssten (§ 7 Thüringer Pressegesetz); dass Fahnen an Stangen, die aus Weichholz oder Kunststofflehrrohren bestehen müssten, mit einer maximalen Länge bis 3 m angebracht sein müssten und soweit nicht </w:t>
      </w:r>
      <w:r>
        <w:rPr>
          <w:rFonts w:ascii="Arial" w:hAnsi="Arial" w:cs="Arial"/>
        </w:rPr>
        <w:lastRenderedPageBreak/>
        <w:t>nur Spruchbänder verwendet würden, bei den Transparenten (Banner) darauf zu achten sei, dass deren Stangen aus Holz seien, deren Länge nicht mehr als 2 m und deren Durchmesser nicht mehr als 3 cm betragen würde; dass die Verwendung der Kundgebungsmittel auf die Zeit der angemeldeten Versammlung beschränkt und in der Öffentlichkeit vor Beginn und nach Beendigung der Versammlung nicht zugelassen sei; dass der Versammlungsleiter dafür Sorge zu tragen habe, dass der Kundgebungsort in einem sauberen und ordnungsgemäßen Zustand verlassen werde.</w:t>
      </w:r>
    </w:p>
    <w:p>
      <w:pPr>
        <w:pStyle w:val="21Tenor"/>
        <w:ind w:left="0"/>
        <w:rPr>
          <w:rFonts w:ascii="Arial" w:hAnsi="Arial" w:cs="Arial"/>
        </w:rPr>
      </w:pPr>
      <w:r>
        <w:rPr>
          <w:rFonts w:ascii="Arial" w:hAnsi="Arial" w:cs="Arial"/>
        </w:rPr>
        <w:t xml:space="preserve">Hinsichtlich dieser Auflagen fehlt es zum Teil bereits vollständig an der Begründung, zum Teil jedenfalls an einer für das Gericht überprüfbaren Gefahrenprognose. </w:t>
      </w:r>
    </w:p>
    <w:p>
      <w:pPr>
        <w:pStyle w:val="21Tenor"/>
        <w:ind w:left="0"/>
        <w:rPr>
          <w:rFonts w:ascii="Arial" w:hAnsi="Arial" w:cs="Arial"/>
        </w:rPr>
      </w:pPr>
      <w:r>
        <w:rPr>
          <w:rFonts w:ascii="Arial" w:hAnsi="Arial" w:cs="Arial"/>
        </w:rPr>
        <w:t xml:space="preserve">Soweit der Antragsteller sich gegen die Auflage gewandt hat, mit der Waffen, gefährliche Gegenstände und Vermummungen verboten wurden, war der Antrag abzulehnen. Zum einen ist diese Auflage als deklaratorischer Hinweis auf den Gesetzeswortlaut des § 2 Abs. 3 und § 17a Abs. 2 VersG zu verstehen. Zum anderen hat der Antragsgegner diese Auflage zumindest ansatzweise begründet und eine Gefahrenprognose vorgenommen. </w:t>
      </w:r>
    </w:p>
    <w:p>
      <w:pPr>
        <w:pStyle w:val="21Tenor"/>
        <w:ind w:left="0"/>
        <w:rPr>
          <w:rFonts w:ascii="Arial" w:hAnsi="Arial" w:cs="Arial"/>
        </w:rPr>
      </w:pPr>
      <w:r>
        <w:rPr>
          <w:rFonts w:ascii="Arial" w:hAnsi="Arial" w:cs="Arial"/>
        </w:rPr>
        <w:t>Die Entscheidung ist nicht rechtskräftig. Dagegen ist die Beschwerde zum Thüringer Oberverwaltungsgericht möglich.</w:t>
      </w:r>
    </w:p>
    <w:p>
      <w:pPr>
        <w:pStyle w:val="21Tenor"/>
        <w:ind w:left="0"/>
        <w:rPr>
          <w:rFonts w:ascii="Arial" w:hAnsi="Arial" w:cs="Arial"/>
          <w:szCs w:val="24"/>
        </w:rPr>
      </w:pPr>
    </w:p>
    <w:p>
      <w:pPr>
        <w:pStyle w:val="21Tenor"/>
        <w:ind w:left="0"/>
        <w:rPr>
          <w:rFonts w:ascii="Arial" w:hAnsi="Arial" w:cs="Arial"/>
          <w:szCs w:val="24"/>
        </w:rPr>
      </w:pPr>
      <w:r>
        <w:rPr>
          <w:rFonts w:ascii="Arial" w:hAnsi="Arial" w:cs="Arial"/>
          <w:szCs w:val="24"/>
        </w:rPr>
        <w:t>Die Pressesprecherin</w:t>
      </w:r>
    </w:p>
    <w:p>
      <w:pPr>
        <w:pStyle w:val="21Tenor"/>
        <w:ind w:left="0"/>
        <w:rPr>
          <w:rFonts w:ascii="Arial" w:hAnsi="Arial" w:cs="Arial"/>
          <w:szCs w:val="24"/>
        </w:rPr>
      </w:pPr>
      <w:proofErr w:type="spellStart"/>
      <w:r>
        <w:rPr>
          <w:rFonts w:ascii="Arial" w:hAnsi="Arial" w:cs="Arial"/>
          <w:szCs w:val="24"/>
        </w:rPr>
        <w:t>RinVG</w:t>
      </w:r>
      <w:proofErr w:type="spellEnd"/>
      <w:r>
        <w:rPr>
          <w:rFonts w:ascii="Arial" w:hAnsi="Arial" w:cs="Arial"/>
          <w:szCs w:val="24"/>
        </w:rPr>
        <w:t xml:space="preserve"> </w:t>
      </w:r>
      <w:proofErr w:type="spellStart"/>
      <w:r>
        <w:rPr>
          <w:rFonts w:ascii="Arial" w:hAnsi="Arial" w:cs="Arial"/>
          <w:szCs w:val="24"/>
        </w:rPr>
        <w:t>Szurlies</w:t>
      </w:r>
      <w:proofErr w:type="spellEnd"/>
    </w:p>
    <w:p>
      <w:pPr>
        <w:tabs>
          <w:tab w:val="clear" w:pos="397"/>
          <w:tab w:val="left" w:pos="708"/>
        </w:tabs>
        <w:spacing w:line="264" w:lineRule="exact"/>
      </w:pPr>
    </w:p>
    <w:p>
      <w:pPr>
        <w:tabs>
          <w:tab w:val="clear" w:pos="397"/>
          <w:tab w:val="clear" w:pos="794"/>
          <w:tab w:val="clear" w:pos="1191"/>
        </w:tabs>
        <w:spacing w:line="264" w:lineRule="exact"/>
      </w:pPr>
    </w:p>
    <w:sectPr>
      <w:headerReference w:type="default" r:id="rId10"/>
      <w:footerReference w:type="default" r:id="rId11"/>
      <w:headerReference w:type="first" r:id="rId12"/>
      <w:type w:val="continuous"/>
      <w:pgSz w:w="11907" w:h="16840"/>
      <w:pgMar w:top="1418" w:right="3119" w:bottom="1276" w:left="1276" w:header="720"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t xml:space="preserve">Seite </w:t>
    </w:r>
    <w:r>
      <w:fldChar w:fldCharType="begin"/>
    </w:r>
    <w:r>
      <w:instrText xml:space="preserve"> PAGE </w:instrText>
    </w:r>
    <w:r>
      <w:fldChar w:fldCharType="separate"/>
    </w:r>
    <w:r>
      <w:rPr>
        <w:noProof/>
      </w:rPr>
      <w:t>2</w:t>
    </w:r>
    <w:r>
      <w:fldChar w:fldCharType="end"/>
    </w:r>
    <w:r>
      <w:t xml:space="preserve"> von </w:t>
    </w:r>
    <w:fldSimple w:instr=" NUMPAGES ">
      <w:r>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rPr>
        <w:sz w:val="14"/>
        <w:szCs w:val="14"/>
      </w:rPr>
    </w:pPr>
    <w:r>
      <w:rPr>
        <w:sz w:val="14"/>
        <w:szCs w:val="14"/>
      </w:rPr>
      <w:t xml:space="preserve">Informationen zum Schutz </w:t>
    </w:r>
    <w:proofErr w:type="gramStart"/>
    <w:r>
      <w:rPr>
        <w:sz w:val="14"/>
        <w:szCs w:val="14"/>
      </w:rPr>
      <w:t>Ihrer personenbezogen Daten</w:t>
    </w:r>
    <w:proofErr w:type="gramEnd"/>
    <w:r>
      <w:rPr>
        <w:sz w:val="14"/>
        <w:szCs w:val="14"/>
      </w:rPr>
      <w:t xml:space="preserve"> durch die Verwaltung des Verwaltungsgerichts Meiningen erhalten Sie im Internet unter </w:t>
    </w:r>
    <w:hyperlink r:id="rId1" w:history="1">
      <w:r>
        <w:rPr>
          <w:rStyle w:val="Hyperlink"/>
          <w:sz w:val="14"/>
          <w:szCs w:val="14"/>
        </w:rPr>
        <w:t>www.verwaltungsgerichte.thueringen.de</w:t>
      </w:r>
    </w:hyperlink>
    <w:r>
      <w:rPr>
        <w:sz w:val="14"/>
        <w:szCs w:val="14"/>
      </w:rPr>
      <w:t xml:space="preserve"> . Auf Wunsch übersenden wir Ihnen eine Papierfassung.</w:t>
    </w:r>
  </w:p>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t xml:space="preserve">Seite </w:t>
    </w:r>
    <w:r>
      <w:fldChar w:fldCharType="begin"/>
    </w:r>
    <w:r>
      <w:instrText xml:space="preserve"> PAGE </w:instrText>
    </w:r>
    <w:r>
      <w:fldChar w:fldCharType="separate"/>
    </w:r>
    <w:r>
      <w:rPr>
        <w:noProof/>
      </w:rPr>
      <w:t>1</w:t>
    </w:r>
    <w:r>
      <w:fldChar w:fldCharType="end"/>
    </w:r>
    <w:r>
      <w:t xml:space="preserve"> von </w:t>
    </w:r>
    <w:fldSimple w:instr=" NUMPAGES ">
      <w:r>
        <w:rPr>
          <w:noProof/>
        </w:rPr>
        <w:t>1</w:t>
      </w:r>
    </w:fldSimple>
    <w:bookmarkStart w:id="3" w:name="Sachbearbeite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rPr>
      <w:drawing>
        <wp:anchor distT="0" distB="0" distL="114300" distR="114300" simplePos="0" relativeHeight="251662336" behindDoc="0" locked="0" layoutInCell="1" allowOverlap="1">
          <wp:simplePos x="0" y="0"/>
          <wp:positionH relativeFrom="column">
            <wp:posOffset>2952115</wp:posOffset>
          </wp:positionH>
          <wp:positionV relativeFrom="paragraph">
            <wp:posOffset>-104140</wp:posOffset>
          </wp:positionV>
          <wp:extent cx="3067050" cy="781050"/>
          <wp:effectExtent l="0" t="0" r="0" b="0"/>
          <wp:wrapNone/>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1" layoutInCell="1" allowOverlap="1">
              <wp:simplePos x="0" y="0"/>
              <wp:positionH relativeFrom="page">
                <wp:posOffset>165735</wp:posOffset>
              </wp:positionH>
              <wp:positionV relativeFrom="page">
                <wp:posOffset>3780790</wp:posOffset>
              </wp:positionV>
              <wp:extent cx="152400" cy="0"/>
              <wp:effectExtent l="0" t="0" r="0" b="0"/>
              <wp:wrapTight wrapText="bothSides">
                <wp:wrapPolygon edited="0">
                  <wp:start x="0" y="-2147483648"/>
                  <wp:lineTo x="0" y="-2147483648"/>
                  <wp:lineTo x="0" y="-2147483648"/>
                  <wp:lineTo x="0" y="-2147483648"/>
                  <wp:lineTo x="0" y="-2147483648"/>
                </wp:wrapPolygon>
              </wp:wrapTight>
              <wp:docPr id="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05pt,297.7pt" to="25.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" strokeweight=".5pt">
              <w10:wrap type="tight" anchorx="page" anchory="page"/>
              <w10:anchorlock/>
            </v:line>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column">
                <wp:posOffset>-645160</wp:posOffset>
              </wp:positionH>
              <wp:positionV relativeFrom="page">
                <wp:posOffset>7584440</wp:posOffset>
              </wp:positionV>
              <wp:extent cx="152400" cy="0"/>
              <wp:effectExtent l="0" t="0" r="0" b="0"/>
              <wp:wrapSquare wrapText="bothSides"/>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597.2pt" to="-38.8pt,5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" strokeweight=".5pt">
              <w10:wrap type="square" anchory="page"/>
              <w10:anchorlock/>
            </v:line>
          </w:pict>
        </mc:Fallback>
      </mc:AlternateContent>
    </w:r>
    <w:r>
      <w:rPr>
        <w:noProof/>
      </w:rPr>
      <mc:AlternateContent>
        <mc:Choice Requires="wps">
          <w:drawing>
            <wp:anchor distT="0" distB="0" distL="114300" distR="114300" simplePos="0" relativeHeight="251659264" behindDoc="0" locked="1" layoutInCell="1" allowOverlap="1">
              <wp:simplePos x="0" y="0"/>
              <wp:positionH relativeFrom="column">
                <wp:posOffset>-645160</wp:posOffset>
              </wp:positionH>
              <wp:positionV relativeFrom="page">
                <wp:posOffset>5374640</wp:posOffset>
              </wp:positionV>
              <wp:extent cx="152400" cy="0"/>
              <wp:effectExtent l="0" t="0" r="0" b="0"/>
              <wp:wrapSquare wrapText="bothSides"/>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423.2pt" to="-38.8pt,4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" strokeweight=".5pt">
              <w10:wrap type="square" anchory="page"/>
              <w10:anchorlock/>
            </v:line>
          </w:pict>
        </mc:Fallback>
      </mc:AlternateContent>
    </w:r>
    <w:r>
      <w:rPr>
        <w:noProof/>
      </w:rPr>
      <w:drawing>
        <wp:anchor distT="0" distB="0" distL="114300" distR="114300" simplePos="0" relativeHeight="251658240" behindDoc="1" locked="0" layoutInCell="1" allowOverlap="1">
          <wp:simplePos x="0" y="0"/>
          <wp:positionH relativeFrom="column">
            <wp:posOffset>4817110</wp:posOffset>
          </wp:positionH>
          <wp:positionV relativeFrom="paragraph">
            <wp:posOffset>-6985</wp:posOffset>
          </wp:positionV>
          <wp:extent cx="1077595" cy="10106025"/>
          <wp:effectExtent l="0" t="0" r="0" b="0"/>
          <wp:wrapTight wrapText="bothSides">
            <wp:wrapPolygon edited="0">
              <wp:start x="0" y="0"/>
              <wp:lineTo x="0" y="21580"/>
              <wp:lineTo x="21384" y="21580"/>
              <wp:lineTo x="21384" y="0"/>
              <wp:lineTo x="0" y="0"/>
            </wp:wrapPolygon>
          </wp:wrapTight>
          <wp:docPr id="29" name="Bild 29" descr="einpi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inpixc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7595" cy="10106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rPr>
      <w:drawing>
        <wp:anchor distT="0" distB="0" distL="114300" distR="114300" simplePos="0" relativeHeight="251657216" behindDoc="0" locked="0" layoutInCell="1" allowOverlap="1">
          <wp:simplePos x="0" y="0"/>
          <wp:positionH relativeFrom="column">
            <wp:posOffset>2952115</wp:posOffset>
          </wp:positionH>
          <wp:positionV relativeFrom="paragraph">
            <wp:posOffset>-104140</wp:posOffset>
          </wp:positionV>
          <wp:extent cx="3067050" cy="781050"/>
          <wp:effectExtent l="0" t="0" r="0" b="0"/>
          <wp:wrapNone/>
          <wp:docPr id="18" name="Bild 18" descr="VGMe_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GMe_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1" locked="1" layoutInCell="1" allowOverlap="1">
              <wp:simplePos x="0" y="0"/>
              <wp:positionH relativeFrom="page">
                <wp:posOffset>165735</wp:posOffset>
              </wp:positionH>
              <wp:positionV relativeFrom="page">
                <wp:posOffset>3780790</wp:posOffset>
              </wp:positionV>
              <wp:extent cx="152400" cy="0"/>
              <wp:effectExtent l="0" t="0" r="0" b="0"/>
              <wp:wrapTight wrapText="bothSides">
                <wp:wrapPolygon edited="0">
                  <wp:start x="0" y="-2147483648"/>
                  <wp:lineTo x="0" y="-2147483648"/>
                  <wp:lineTo x="0" y="-2147483648"/>
                  <wp:lineTo x="0" y="-2147483648"/>
                  <wp:lineTo x="0" y="-2147483648"/>
                </wp:wrapPolygon>
              </wp:wrapTight>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05pt,297.7pt" to="25.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" strokeweight=".5pt">
              <w10:wrap type="tight" anchorx="page" anchory="page"/>
              <w10:anchorlock/>
            </v:lin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column">
                <wp:posOffset>-645160</wp:posOffset>
              </wp:positionH>
              <wp:positionV relativeFrom="page">
                <wp:posOffset>7584440</wp:posOffset>
              </wp:positionV>
              <wp:extent cx="152400" cy="0"/>
              <wp:effectExtent l="0" t="0" r="0" b="0"/>
              <wp:wrapSquare wrapText="bothSides"/>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597.2pt" to="-38.8pt,5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" strokeweight=".5pt">
              <w10:wrap type="square" anchory="page"/>
              <w10:anchorlock/>
            </v:line>
          </w:pict>
        </mc:Fallback>
      </mc:AlternateContent>
    </w:r>
    <w:r>
      <w:rPr>
        <w:noProof/>
      </w:rPr>
      <mc:AlternateContent>
        <mc:Choice Requires="wps">
          <w:drawing>
            <wp:anchor distT="0" distB="0" distL="114300" distR="114300" simplePos="0" relativeHeight="251654144" behindDoc="0" locked="1" layoutInCell="1" allowOverlap="1">
              <wp:simplePos x="0" y="0"/>
              <wp:positionH relativeFrom="column">
                <wp:posOffset>-645160</wp:posOffset>
              </wp:positionH>
              <wp:positionV relativeFrom="page">
                <wp:posOffset>5374640</wp:posOffset>
              </wp:positionV>
              <wp:extent cx="152400" cy="0"/>
              <wp:effectExtent l="0" t="0" r="0" b="0"/>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423.2pt" to="-38.8pt,4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" strokeweight=".5pt">
              <w10:wrap type="square" anchory="page"/>
              <w10:anchorlock/>
            </v:line>
          </w:pict>
        </mc:Fallback>
      </mc:AlternateContent>
    </w:r>
    <w:r>
      <w:rPr>
        <w:noProof/>
      </w:rPr>
      <w:drawing>
        <wp:anchor distT="0" distB="0" distL="114300" distR="114300" simplePos="0" relativeHeight="251653120" behindDoc="1" locked="0" layoutInCell="1" allowOverlap="1">
          <wp:simplePos x="0" y="0"/>
          <wp:positionH relativeFrom="column">
            <wp:posOffset>4817110</wp:posOffset>
          </wp:positionH>
          <wp:positionV relativeFrom="paragraph">
            <wp:posOffset>-6985</wp:posOffset>
          </wp:positionV>
          <wp:extent cx="1077595" cy="10106025"/>
          <wp:effectExtent l="0" t="0" r="0" b="0"/>
          <wp:wrapTight wrapText="bothSides">
            <wp:wrapPolygon edited="0">
              <wp:start x="0" y="0"/>
              <wp:lineTo x="0" y="21580"/>
              <wp:lineTo x="21384" y="21580"/>
              <wp:lineTo x="21384" y="0"/>
              <wp:lineTo x="0" y="0"/>
            </wp:wrapPolygon>
          </wp:wrapTight>
          <wp:docPr id="1" name="Bild 1" descr="einpi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pixc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7595" cy="10106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0D35B62-E71E-4015-B65A-04B5CF1A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tabs>
        <w:tab w:val="left" w:pos="397"/>
        <w:tab w:val="left" w:pos="794"/>
        <w:tab w:val="left" w:pos="1191"/>
      </w:tabs>
      <w:overflowPunct w:val="0"/>
      <w:autoSpaceDE w:val="0"/>
      <w:autoSpaceDN w:val="0"/>
      <w:adjustRightInd w:val="0"/>
      <w:textAlignment w:val="baseline"/>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ngend">
    <w:name w:val="Hängend"/>
    <w:basedOn w:val="Standard"/>
    <w:pPr>
      <w:ind w:left="397" w:hanging="397"/>
    </w:pPr>
  </w:style>
  <w:style w:type="paragraph" w:customStyle="1" w:styleId="Hngend2">
    <w:name w:val="Hängend2"/>
    <w:basedOn w:val="Hngend"/>
    <w:next w:val="Hngend"/>
    <w:pPr>
      <w:ind w:left="794"/>
    </w:pPr>
  </w:style>
  <w:style w:type="paragraph" w:customStyle="1" w:styleId="Empfnger">
    <w:name w:val="Empfänger"/>
    <w:basedOn w:val="Standard"/>
  </w:style>
  <w:style w:type="paragraph" w:customStyle="1" w:styleId="Hngend3">
    <w:name w:val="Hängend3"/>
    <w:basedOn w:val="Hngend"/>
    <w:pPr>
      <w:ind w:left="1191"/>
    </w:pPr>
  </w:style>
  <w:style w:type="paragraph" w:styleId="Fuzeile">
    <w:name w:val="footer"/>
    <w:basedOn w:val="Standard"/>
    <w:link w:val="FuzeileZchn"/>
    <w:pPr>
      <w:tabs>
        <w:tab w:val="clear" w:pos="397"/>
        <w:tab w:val="clear" w:pos="794"/>
        <w:tab w:val="clear" w:pos="1191"/>
        <w:tab w:val="center" w:pos="4536"/>
        <w:tab w:val="right" w:pos="9072"/>
      </w:tabs>
    </w:pPr>
  </w:style>
  <w:style w:type="paragraph" w:styleId="Kopfzeile">
    <w:name w:val="header"/>
    <w:basedOn w:val="Standard"/>
    <w:pPr>
      <w:tabs>
        <w:tab w:val="clear" w:pos="397"/>
        <w:tab w:val="clear" w:pos="794"/>
        <w:tab w:val="clear" w:pos="1191"/>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THbold">
    <w:name w:val="TH_bold"/>
    <w:rPr>
      <w:rFonts w:ascii="Arial" w:eastAsia="Cambria" w:hAnsi="Arial"/>
      <w:b/>
    </w:rPr>
  </w:style>
  <w:style w:type="paragraph" w:customStyle="1" w:styleId="THName810">
    <w:name w:val="TH_Name_8/10"/>
    <w:basedOn w:val="Standard"/>
    <w:qFormat/>
    <w:pPr>
      <w:tabs>
        <w:tab w:val="clear" w:pos="397"/>
        <w:tab w:val="clear" w:pos="794"/>
        <w:tab w:val="clear" w:pos="1191"/>
      </w:tabs>
      <w:overflowPunct/>
      <w:autoSpaceDE/>
      <w:autoSpaceDN/>
      <w:adjustRightInd/>
      <w:spacing w:line="200" w:lineRule="exact"/>
      <w:textAlignment w:val="auto"/>
    </w:pPr>
    <w:rPr>
      <w:sz w:val="16"/>
    </w:rPr>
  </w:style>
  <w:style w:type="paragraph" w:customStyle="1" w:styleId="THAbbinder79">
    <w:name w:val="TH_Abbinder_7/9"/>
    <w:basedOn w:val="Standard"/>
    <w:qFormat/>
    <w:pPr>
      <w:tabs>
        <w:tab w:val="clear" w:pos="397"/>
        <w:tab w:val="clear" w:pos="794"/>
        <w:tab w:val="clear" w:pos="1191"/>
      </w:tabs>
      <w:overflowPunct/>
      <w:autoSpaceDE/>
      <w:autoSpaceDN/>
      <w:adjustRightInd/>
      <w:spacing w:line="180" w:lineRule="exact"/>
      <w:textAlignment w:val="auto"/>
    </w:pPr>
    <w:rPr>
      <w:rFonts w:eastAsia="Cambria"/>
      <w:sz w:val="14"/>
    </w:rPr>
  </w:style>
  <w:style w:type="character" w:styleId="Hyperlink">
    <w:name w:val="Hyperlink"/>
    <w:rPr>
      <w:color w:val="0000FF"/>
      <w:u w:val="single"/>
    </w:rPr>
  </w:style>
  <w:style w:type="paragraph" w:customStyle="1" w:styleId="THFensterzeile67">
    <w:name w:val="TH_Fensterzeile_6/7"/>
    <w:basedOn w:val="Standard"/>
    <w:qFormat/>
    <w:pPr>
      <w:widowControl w:val="0"/>
      <w:tabs>
        <w:tab w:val="clear" w:pos="397"/>
        <w:tab w:val="clear" w:pos="794"/>
        <w:tab w:val="clear" w:pos="1191"/>
      </w:tabs>
      <w:overflowPunct/>
      <w:spacing w:line="140" w:lineRule="exact"/>
      <w:textAlignment w:val="center"/>
    </w:pPr>
    <w:rPr>
      <w:rFonts w:eastAsia="Cambria" w:cs="ArialMT"/>
      <w:color w:val="000000"/>
      <w:sz w:val="12"/>
      <w:szCs w:val="12"/>
    </w:rPr>
  </w:style>
  <w:style w:type="paragraph" w:styleId="Dokumentstruktur">
    <w:name w:val="Document Map"/>
    <w:basedOn w:val="Standard"/>
    <w:semiHidden/>
    <w:pPr>
      <w:shd w:val="clear" w:color="auto" w:fill="000080"/>
    </w:pPr>
    <w:rPr>
      <w:rFonts w:ascii="Tahoma" w:hAnsi="Tahoma" w:cs="Tahoma"/>
      <w:sz w:val="20"/>
    </w:rPr>
  </w:style>
  <w:style w:type="paragraph" w:customStyle="1" w:styleId="THAnkreuztext">
    <w:name w:val="TH_Ankreuztext"/>
    <w:basedOn w:val="Standard"/>
    <w:qFormat/>
    <w:pPr>
      <w:tabs>
        <w:tab w:val="clear" w:pos="397"/>
        <w:tab w:val="clear" w:pos="794"/>
        <w:tab w:val="clear" w:pos="1191"/>
      </w:tabs>
      <w:overflowPunct/>
      <w:autoSpaceDE/>
      <w:autoSpaceDN/>
      <w:adjustRightInd/>
      <w:spacing w:line="400" w:lineRule="exact"/>
      <w:textAlignment w:val="auto"/>
    </w:pPr>
    <w:rPr>
      <w:sz w:val="20"/>
    </w:rPr>
  </w:style>
  <w:style w:type="character" w:customStyle="1" w:styleId="FuzeileZchn">
    <w:name w:val="Fußzeile Zchn"/>
    <w:basedOn w:val="Absatz-Standardschriftart"/>
    <w:link w:val="Fuzeile"/>
    <w:rPr>
      <w:rFonts w:ascii="Arial" w:hAnsi="Arial"/>
      <w:sz w:val="22"/>
    </w:rPr>
  </w:style>
  <w:style w:type="character" w:customStyle="1" w:styleId="31SachverhaltZchn">
    <w:name w:val="3.1 Sachverhalt Zchn"/>
    <w:link w:val="31Sachverhalt"/>
    <w:locked/>
    <w:rPr>
      <w:sz w:val="24"/>
    </w:rPr>
  </w:style>
  <w:style w:type="paragraph" w:customStyle="1" w:styleId="31Sachverhalt">
    <w:name w:val="3.1 Sachverhalt"/>
    <w:basedOn w:val="Standard"/>
    <w:link w:val="31SachverhaltZchn"/>
    <w:pPr>
      <w:tabs>
        <w:tab w:val="clear" w:pos="397"/>
        <w:tab w:val="clear" w:pos="794"/>
        <w:tab w:val="clear" w:pos="1191"/>
      </w:tabs>
      <w:spacing w:before="240" w:line="360" w:lineRule="auto"/>
      <w:jc w:val="both"/>
      <w:textAlignment w:val="auto"/>
    </w:pPr>
    <w:rPr>
      <w:rFonts w:ascii="Times New Roman" w:hAnsi="Times New Roman"/>
      <w:sz w:val="24"/>
    </w:rPr>
  </w:style>
  <w:style w:type="paragraph" w:customStyle="1" w:styleId="21Tenor">
    <w:name w:val="2.1 Tenor"/>
    <w:basedOn w:val="Standard"/>
    <w:pPr>
      <w:tabs>
        <w:tab w:val="clear" w:pos="397"/>
        <w:tab w:val="clear" w:pos="794"/>
        <w:tab w:val="clear" w:pos="1191"/>
      </w:tabs>
      <w:spacing w:before="240" w:line="360" w:lineRule="auto"/>
      <w:ind w:left="1134"/>
      <w:jc w:val="both"/>
      <w:textAlignment w:val="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30302">
      <w:bodyDiv w:val="1"/>
      <w:marLeft w:val="0"/>
      <w:marRight w:val="0"/>
      <w:marTop w:val="0"/>
      <w:marBottom w:val="0"/>
      <w:divBdr>
        <w:top w:val="none" w:sz="0" w:space="0" w:color="auto"/>
        <w:left w:val="none" w:sz="0" w:space="0" w:color="auto"/>
        <w:bottom w:val="none" w:sz="0" w:space="0" w:color="auto"/>
        <w:right w:val="none" w:sz="0" w:space="0" w:color="auto"/>
      </w:divBdr>
    </w:div>
    <w:div w:id="1131896147">
      <w:bodyDiv w:val="1"/>
      <w:marLeft w:val="0"/>
      <w:marRight w:val="0"/>
      <w:marTop w:val="0"/>
      <w:marBottom w:val="0"/>
      <w:divBdr>
        <w:top w:val="none" w:sz="0" w:space="0" w:color="auto"/>
        <w:left w:val="none" w:sz="0" w:space="0" w:color="auto"/>
        <w:bottom w:val="none" w:sz="0" w:space="0" w:color="auto"/>
        <w:right w:val="none" w:sz="0" w:space="0" w:color="auto"/>
      </w:divBdr>
    </w:div>
    <w:div w:id="213945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verwaltungsgerichte.thueringen.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X\Makro\Briefk&#246;pfe\VGMe%20Medieninformation-Allgemei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VGMe Medieninformation-Allgemein.dotx</Template>
  <TotalTime>0</TotalTime>
  <Pages>2</Pages>
  <Words>406</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Briefkopf - PRÄSIDENT DES THÜR. OLG -</vt:lpstr>
    </vt:vector>
  </TitlesOfParts>
  <Company>OLG</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Briefkopf - PRÄSIDENT DES THÜR. OLG -</dc:title>
  <dc:subject>Zum automatisierten ausfüllen - Verfügungssystem -</dc:subject>
  <dc:creator>VGMe Szurlies, Carolin</dc:creator>
  <cp:keywords/>
  <dc:description>erstellt im November 2012</dc:description>
  <cp:lastModifiedBy>VGMe Mienert, Rita</cp:lastModifiedBy>
  <cp:revision>2</cp:revision>
  <cp:lastPrinted>2013-04-22T12:52:00Z</cp:lastPrinted>
  <dcterms:created xsi:type="dcterms:W3CDTF">2026-07-17T07:52:00Z</dcterms:created>
  <dcterms:modified xsi:type="dcterms:W3CDTF">2026-07-17T07:52:00Z</dcterms:modified>
</cp:coreProperties>
</file>